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tabs>
          <w:tab w:val="left" w:pos="3180"/>
        </w:tabs>
        <w:spacing w:after="80" w:line="240" w:lineRule="auto"/>
        <w:rPr>
          <w:sz w:val="36"/>
          <w:szCs w:val="36"/>
        </w:rPr>
      </w:pPr>
      <w:bookmarkStart w:colFirst="0" w:colLast="0" w:name="_244qe2y1rlyi" w:id="0"/>
      <w:bookmarkEnd w:id="0"/>
      <w:r w:rsidDel="00000000" w:rsidR="00000000" w:rsidRPr="00000000">
        <w:rPr>
          <w:sz w:val="36"/>
          <w:szCs w:val="36"/>
          <w:rtl w:val="0"/>
        </w:rPr>
        <w:t xml:space="preserve">Annex 1</w:t>
      </w:r>
    </w:p>
    <w:p w:rsidR="00000000" w:rsidDel="00000000" w:rsidP="00000000" w:rsidRDefault="00000000" w:rsidRPr="00000000" w14:paraId="00000002">
      <w:pPr>
        <w:pStyle w:val="Heading2"/>
        <w:tabs>
          <w:tab w:val="left" w:pos="3180"/>
        </w:tabs>
        <w:spacing w:after="80" w:line="240" w:lineRule="auto"/>
        <w:rPr>
          <w:sz w:val="36"/>
          <w:szCs w:val="36"/>
        </w:rPr>
      </w:pPr>
      <w:bookmarkStart w:colFirst="0" w:colLast="0" w:name="_9ngtf425dtrt" w:id="1"/>
      <w:bookmarkEnd w:id="1"/>
      <w:r w:rsidDel="00000000" w:rsidR="00000000" w:rsidRPr="00000000">
        <w:rPr>
          <w:sz w:val="36"/>
          <w:szCs w:val="36"/>
          <w:rtl w:val="0"/>
        </w:rPr>
        <w:t xml:space="preserve">Ziele – Verfahren - Förderfähige Bereiche  </w:t>
      </w:r>
    </w:p>
    <w:p w:rsidR="00000000" w:rsidDel="00000000" w:rsidP="00000000" w:rsidRDefault="00000000" w:rsidRPr="00000000" w14:paraId="00000003">
      <w:pPr>
        <w:spacing w:line="240" w:lineRule="auto"/>
        <w:rPr>
          <w:b w:val="1"/>
          <w:sz w:val="27"/>
          <w:szCs w:val="27"/>
        </w:rPr>
      </w:pPr>
      <w:r w:rsidDel="00000000" w:rsidR="00000000" w:rsidRPr="00000000">
        <w:rPr>
          <w:rtl w:val="0"/>
        </w:rPr>
      </w:r>
    </w:p>
    <w:p w:rsidR="00000000" w:rsidDel="00000000" w:rsidP="00000000" w:rsidRDefault="00000000" w:rsidRPr="00000000" w14:paraId="00000004">
      <w:pPr>
        <w:spacing w:line="240" w:lineRule="auto"/>
        <w:rPr/>
      </w:pPr>
      <w:r w:rsidDel="00000000" w:rsidR="00000000" w:rsidRPr="00000000">
        <w:rPr>
          <w:b w:val="1"/>
          <w:sz w:val="27"/>
          <w:szCs w:val="27"/>
          <w:rtl w:val="0"/>
        </w:rPr>
        <w:t xml:space="preserve">1. Ziele</w:t>
      </w:r>
      <w:r w:rsidDel="00000000" w:rsidR="00000000" w:rsidRPr="00000000">
        <w:rPr>
          <w:rtl w:val="0"/>
        </w:rPr>
      </w:r>
    </w:p>
    <w:p w:rsidR="00000000" w:rsidDel="00000000" w:rsidP="00000000" w:rsidRDefault="00000000" w:rsidRPr="00000000" w14:paraId="00000005">
      <w:pPr>
        <w:spacing w:after="280" w:before="280" w:line="240" w:lineRule="auto"/>
        <w:rPr>
          <w:sz w:val="24"/>
          <w:szCs w:val="24"/>
        </w:rPr>
      </w:pPr>
      <w:r w:rsidDel="00000000" w:rsidR="00000000" w:rsidRPr="00000000">
        <w:rPr>
          <w:sz w:val="24"/>
          <w:szCs w:val="24"/>
          <w:rtl w:val="0"/>
        </w:rPr>
        <w:t xml:space="preserve">Der Fonds der VielRespektStiftung unterstützt zivilgesellschaftliches Handeln, das mit </w:t>
      </w:r>
    </w:p>
    <w:p w:rsidR="00000000" w:rsidDel="00000000" w:rsidP="00000000" w:rsidRDefault="00000000" w:rsidRPr="00000000" w14:paraId="00000006">
      <w:pPr>
        <w:numPr>
          <w:ilvl w:val="0"/>
          <w:numId w:val="5"/>
        </w:numPr>
        <w:spacing w:before="280" w:line="240" w:lineRule="auto"/>
        <w:ind w:left="720" w:hanging="360"/>
        <w:rPr>
          <w:sz w:val="24"/>
          <w:szCs w:val="24"/>
        </w:rPr>
      </w:pPr>
      <w:r w:rsidDel="00000000" w:rsidR="00000000" w:rsidRPr="00000000">
        <w:rPr>
          <w:sz w:val="24"/>
          <w:szCs w:val="24"/>
          <w:rtl w:val="0"/>
        </w:rPr>
        <w:t xml:space="preserve">neuen Ideen </w:t>
      </w:r>
    </w:p>
    <w:p w:rsidR="00000000" w:rsidDel="00000000" w:rsidP="00000000" w:rsidRDefault="00000000" w:rsidRPr="00000000" w14:paraId="00000007">
      <w:pPr>
        <w:numPr>
          <w:ilvl w:val="0"/>
          <w:numId w:val="5"/>
        </w:numPr>
        <w:spacing w:after="280" w:line="240" w:lineRule="auto"/>
        <w:ind w:left="720" w:hanging="360"/>
        <w:rPr>
          <w:sz w:val="24"/>
          <w:szCs w:val="24"/>
        </w:rPr>
      </w:pPr>
      <w:r w:rsidDel="00000000" w:rsidR="00000000" w:rsidRPr="00000000">
        <w:rPr>
          <w:sz w:val="24"/>
          <w:szCs w:val="24"/>
          <w:rtl w:val="0"/>
        </w:rPr>
        <w:t xml:space="preserve">bestehenden  / weiterentwickelten Projekten </w:t>
      </w:r>
    </w:p>
    <w:p w:rsidR="00000000" w:rsidDel="00000000" w:rsidP="00000000" w:rsidRDefault="00000000" w:rsidRPr="00000000" w14:paraId="00000008">
      <w:pPr>
        <w:spacing w:after="280" w:before="280" w:line="240" w:lineRule="auto"/>
        <w:rPr>
          <w:sz w:val="24"/>
          <w:szCs w:val="24"/>
        </w:rPr>
      </w:pPr>
      <w:r w:rsidDel="00000000" w:rsidR="00000000" w:rsidRPr="00000000">
        <w:rPr>
          <w:sz w:val="24"/>
          <w:szCs w:val="24"/>
          <w:rtl w:val="0"/>
        </w:rPr>
        <w:t xml:space="preserve">gesellschaftliche Veränderungen im Sinne des Satzungsweckes der VielRespektStiftung bewirkt. Der Satzungszweck spiegelt sich in unseren in Punkt 2 deklarierten förderfähigen Bereichen wider. </w:t>
        <w:br w:type="textWrapping"/>
      </w:r>
    </w:p>
    <w:p w:rsidR="00000000" w:rsidDel="00000000" w:rsidP="00000000" w:rsidRDefault="00000000" w:rsidRPr="00000000" w14:paraId="00000009">
      <w:pPr>
        <w:spacing w:after="280" w:before="280" w:line="240" w:lineRule="auto"/>
        <w:rPr>
          <w:sz w:val="24"/>
          <w:szCs w:val="24"/>
        </w:rPr>
      </w:pPr>
      <w:r w:rsidDel="00000000" w:rsidR="00000000" w:rsidRPr="00000000">
        <w:rPr>
          <w:sz w:val="24"/>
          <w:szCs w:val="24"/>
          <w:rtl w:val="0"/>
        </w:rPr>
        <w:t xml:space="preserve">Satzungszweck der VielRespektStiftung</w:t>
      </w:r>
    </w:p>
    <w:p w:rsidR="00000000" w:rsidDel="00000000" w:rsidP="00000000" w:rsidRDefault="00000000" w:rsidRPr="00000000" w14:paraId="0000000A">
      <w:pPr>
        <w:spacing w:after="280" w:before="280" w:line="240" w:lineRule="auto"/>
        <w:rPr/>
      </w:pPr>
      <w:r w:rsidDel="00000000" w:rsidR="00000000" w:rsidRPr="00000000">
        <w:rPr>
          <w:rtl w:val="0"/>
        </w:rPr>
        <w:t xml:space="preserve">“…Zweck der Stiftung ist die Förderung internationaler Gesinnung, der Toleranz auf allen Gebieten der Kultur und des Völkerverständigungsgedankens, die Förderung der Religion, die allgemeine Förderung des demokratischen Staatswesens im Geltungsbereich der Abgabenordung (hierzu gehören nicht Bestrebungen, die nur bestimmte Einzelinteressen staatsbürgerlicher Art verfolgen oder die auf den kommunalpolitischen Bereich beschränkt sind) und die Förderung des bürgerschaftlichen Engagements zugunsten gemeinnütziger Zwecke. Zweck ist auch die Mittelbeschaffung und –weitergabe i.S.d. § 58 Nr. 1 AO zur Förderung der vorgenannten Zwecke durch andere Körperschaften.”</w:t>
      </w:r>
    </w:p>
    <w:p w:rsidR="00000000" w:rsidDel="00000000" w:rsidP="00000000" w:rsidRDefault="00000000" w:rsidRPr="00000000" w14:paraId="0000000B">
      <w:pPr>
        <w:spacing w:after="280" w:before="280" w:line="240" w:lineRule="auto"/>
        <w:rPr>
          <w:sz w:val="24"/>
          <w:szCs w:val="24"/>
        </w:rPr>
      </w:pPr>
      <w:r w:rsidDel="00000000" w:rsidR="00000000" w:rsidRPr="00000000">
        <w:rPr>
          <w:rtl w:val="0"/>
        </w:rPr>
      </w:r>
    </w:p>
    <w:p w:rsidR="00000000" w:rsidDel="00000000" w:rsidP="00000000" w:rsidRDefault="00000000" w:rsidRPr="00000000" w14:paraId="0000000C">
      <w:pPr>
        <w:spacing w:after="280" w:before="280" w:line="240"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D">
      <w:pPr>
        <w:spacing w:line="240" w:lineRule="auto"/>
        <w:rPr>
          <w:b w:val="1"/>
          <w:sz w:val="27"/>
          <w:szCs w:val="27"/>
        </w:rPr>
      </w:pPr>
      <w:r w:rsidDel="00000000" w:rsidR="00000000" w:rsidRPr="00000000">
        <w:rPr>
          <w:b w:val="1"/>
          <w:sz w:val="27"/>
          <w:szCs w:val="27"/>
          <w:rtl w:val="0"/>
        </w:rPr>
        <w:t xml:space="preserve">2. Förderkriterien</w:t>
      </w:r>
    </w:p>
    <w:p w:rsidR="00000000" w:rsidDel="00000000" w:rsidP="00000000" w:rsidRDefault="00000000" w:rsidRPr="00000000" w14:paraId="0000000E">
      <w:pPr>
        <w:spacing w:after="280" w:before="280" w:line="240" w:lineRule="auto"/>
        <w:rPr>
          <w:sz w:val="24"/>
          <w:szCs w:val="24"/>
        </w:rPr>
      </w:pPr>
      <w:r w:rsidDel="00000000" w:rsidR="00000000" w:rsidRPr="00000000">
        <w:rPr>
          <w:sz w:val="24"/>
          <w:szCs w:val="24"/>
          <w:rtl w:val="0"/>
        </w:rPr>
        <w:t xml:space="preserve">Um Förderung können sich bewerben</w:t>
      </w:r>
    </w:p>
    <w:p w:rsidR="00000000" w:rsidDel="00000000" w:rsidP="00000000" w:rsidRDefault="00000000" w:rsidRPr="00000000" w14:paraId="0000000F">
      <w:pPr>
        <w:numPr>
          <w:ilvl w:val="0"/>
          <w:numId w:val="8"/>
        </w:numPr>
        <w:spacing w:before="280" w:line="240" w:lineRule="auto"/>
        <w:ind w:left="720" w:hanging="360"/>
        <w:rPr>
          <w:rFonts w:ascii="Arial" w:cs="Arial" w:eastAsia="Arial" w:hAnsi="Arial"/>
          <w:sz w:val="24"/>
          <w:szCs w:val="24"/>
        </w:rPr>
      </w:pPr>
      <w:r w:rsidDel="00000000" w:rsidR="00000000" w:rsidRPr="00000000">
        <w:rPr>
          <w:sz w:val="24"/>
          <w:szCs w:val="24"/>
          <w:rtl w:val="0"/>
        </w:rPr>
        <w:t xml:space="preserve">Einzelpersonen (ohne rechtlichen Organisationsgrad) </w:t>
      </w:r>
    </w:p>
    <w:p w:rsidR="00000000" w:rsidDel="00000000" w:rsidP="00000000" w:rsidRDefault="00000000" w:rsidRPr="00000000" w14:paraId="00000010">
      <w:pPr>
        <w:numPr>
          <w:ilvl w:val="0"/>
          <w:numId w:val="8"/>
        </w:numPr>
        <w:spacing w:line="240" w:lineRule="auto"/>
        <w:ind w:left="720" w:hanging="360"/>
        <w:rPr>
          <w:rFonts w:ascii="Arial" w:cs="Arial" w:eastAsia="Arial" w:hAnsi="Arial"/>
          <w:sz w:val="24"/>
          <w:szCs w:val="24"/>
        </w:rPr>
      </w:pPr>
      <w:r w:rsidDel="00000000" w:rsidR="00000000" w:rsidRPr="00000000">
        <w:rPr>
          <w:sz w:val="24"/>
          <w:szCs w:val="24"/>
          <w:rtl w:val="0"/>
        </w:rPr>
        <w:t xml:space="preserve">Nachbarschaftsinitiativen (ohne rechtlichen Organisationsgrad)</w:t>
      </w:r>
    </w:p>
    <w:p w:rsidR="00000000" w:rsidDel="00000000" w:rsidP="00000000" w:rsidRDefault="00000000" w:rsidRPr="00000000" w14:paraId="00000011">
      <w:pPr>
        <w:numPr>
          <w:ilvl w:val="0"/>
          <w:numId w:val="8"/>
        </w:numPr>
        <w:spacing w:after="280" w:line="240" w:lineRule="auto"/>
        <w:ind w:left="720" w:hanging="360"/>
        <w:rPr>
          <w:rFonts w:ascii="Arial" w:cs="Arial" w:eastAsia="Arial" w:hAnsi="Arial"/>
        </w:rPr>
      </w:pPr>
      <w:r w:rsidDel="00000000" w:rsidR="00000000" w:rsidRPr="00000000">
        <w:rPr>
          <w:sz w:val="24"/>
          <w:szCs w:val="24"/>
          <w:rtl w:val="0"/>
        </w:rPr>
        <w:t xml:space="preserve">Steuerbegünstigte operativ tätige Körperschaften, wie z.B. Vereine, Verbände, Stiftungen, Gesellschaften, Kirchengemeinden</w:t>
      </w:r>
      <w:r w:rsidDel="00000000" w:rsidR="00000000" w:rsidRPr="00000000">
        <w:rPr>
          <w:rtl w:val="0"/>
        </w:rPr>
      </w:r>
    </w:p>
    <w:p w:rsidR="00000000" w:rsidDel="00000000" w:rsidP="00000000" w:rsidRDefault="00000000" w:rsidRPr="00000000" w14:paraId="00000012">
      <w:pPr>
        <w:spacing w:after="280" w:line="240" w:lineRule="auto"/>
        <w:rPr>
          <w:sz w:val="24"/>
          <w:szCs w:val="24"/>
        </w:rPr>
      </w:pPr>
      <w:r w:rsidDel="00000000" w:rsidR="00000000" w:rsidRPr="00000000">
        <w:rPr>
          <w:sz w:val="24"/>
          <w:szCs w:val="24"/>
          <w:rtl w:val="0"/>
        </w:rPr>
        <w:t xml:space="preserve">Gefördert werden: </w:t>
      </w:r>
    </w:p>
    <w:tbl>
      <w:tblPr>
        <w:tblStyle w:val="Table1"/>
        <w:tblW w:w="907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28"/>
        <w:gridCol w:w="4544"/>
        <w:tblGridChange w:id="0">
          <w:tblGrid>
            <w:gridCol w:w="4528"/>
            <w:gridCol w:w="4544"/>
          </w:tblGrid>
        </w:tblGridChange>
      </w:tblGrid>
      <w:tr>
        <w:trPr>
          <w:cantSplit w:val="0"/>
          <w:trHeight w:val="1197" w:hRule="atLeast"/>
          <w:tblHeader w:val="0"/>
        </w:trPr>
        <w:tc>
          <w:tcPr/>
          <w:p w:rsidR="00000000" w:rsidDel="00000000" w:rsidP="00000000" w:rsidRDefault="00000000" w:rsidRPr="00000000" w14:paraId="00000013">
            <w:pPr>
              <w:numPr>
                <w:ilvl w:val="0"/>
                <w:numId w:val="4"/>
              </w:numPr>
              <w:spacing w:line="240" w:lineRule="auto"/>
              <w:ind w:left="720" w:hanging="360"/>
              <w:rPr>
                <w:rFonts w:ascii="Arial" w:cs="Arial" w:eastAsia="Arial" w:hAnsi="Arial"/>
                <w:sz w:val="24"/>
                <w:szCs w:val="24"/>
              </w:rPr>
            </w:pPr>
            <w:r w:rsidDel="00000000" w:rsidR="00000000" w:rsidRPr="00000000">
              <w:rPr>
                <w:sz w:val="24"/>
                <w:szCs w:val="24"/>
                <w:rtl w:val="0"/>
              </w:rPr>
              <w:t xml:space="preserve">Personalkosten </w:t>
            </w:r>
          </w:p>
          <w:p w:rsidR="00000000" w:rsidDel="00000000" w:rsidP="00000000" w:rsidRDefault="00000000" w:rsidRPr="00000000" w14:paraId="00000014">
            <w:pPr>
              <w:numPr>
                <w:ilvl w:val="0"/>
                <w:numId w:val="4"/>
              </w:numPr>
              <w:spacing w:line="240" w:lineRule="auto"/>
              <w:ind w:left="720" w:hanging="360"/>
              <w:rPr>
                <w:rFonts w:ascii="Arial" w:cs="Arial" w:eastAsia="Arial" w:hAnsi="Arial"/>
                <w:sz w:val="24"/>
                <w:szCs w:val="24"/>
              </w:rPr>
            </w:pPr>
            <w:r w:rsidDel="00000000" w:rsidR="00000000" w:rsidRPr="00000000">
              <w:rPr>
                <w:sz w:val="24"/>
                <w:szCs w:val="24"/>
                <w:rtl w:val="0"/>
              </w:rPr>
              <w:t xml:space="preserve">Sachkosten</w:t>
            </w:r>
          </w:p>
          <w:p w:rsidR="00000000" w:rsidDel="00000000" w:rsidP="00000000" w:rsidRDefault="00000000" w:rsidRPr="00000000" w14:paraId="00000015">
            <w:pPr>
              <w:numPr>
                <w:ilvl w:val="0"/>
                <w:numId w:val="4"/>
              </w:numPr>
              <w:spacing w:line="240" w:lineRule="auto"/>
              <w:ind w:left="720" w:hanging="360"/>
              <w:rPr>
                <w:rFonts w:ascii="Arial" w:cs="Arial" w:eastAsia="Arial" w:hAnsi="Arial"/>
                <w:sz w:val="24"/>
                <w:szCs w:val="24"/>
              </w:rPr>
            </w:pPr>
            <w:r w:rsidDel="00000000" w:rsidR="00000000" w:rsidRPr="00000000">
              <w:rPr>
                <w:sz w:val="24"/>
                <w:szCs w:val="24"/>
                <w:rtl w:val="0"/>
              </w:rPr>
              <w:t xml:space="preserve">Raummieten</w:t>
            </w:r>
          </w:p>
          <w:p w:rsidR="00000000" w:rsidDel="00000000" w:rsidP="00000000" w:rsidRDefault="00000000" w:rsidRPr="00000000" w14:paraId="00000016">
            <w:pPr>
              <w:numPr>
                <w:ilvl w:val="0"/>
                <w:numId w:val="4"/>
              </w:numPr>
              <w:spacing w:line="240" w:lineRule="auto"/>
              <w:ind w:left="720" w:hanging="360"/>
              <w:rPr>
                <w:rFonts w:ascii="Arial" w:cs="Arial" w:eastAsia="Arial" w:hAnsi="Arial"/>
                <w:sz w:val="24"/>
                <w:szCs w:val="24"/>
              </w:rPr>
            </w:pPr>
            <w:r w:rsidDel="00000000" w:rsidR="00000000" w:rsidRPr="00000000">
              <w:rPr>
                <w:sz w:val="24"/>
                <w:szCs w:val="24"/>
                <w:rtl w:val="0"/>
              </w:rPr>
              <w:t xml:space="preserve">Investitionskosten </w:t>
            </w:r>
          </w:p>
          <w:p w:rsidR="00000000" w:rsidDel="00000000" w:rsidP="00000000" w:rsidRDefault="00000000" w:rsidRPr="00000000" w14:paraId="00000017">
            <w:pPr>
              <w:spacing w:line="240" w:lineRule="auto"/>
              <w:ind w:left="720" w:firstLine="0"/>
              <w:rPr>
                <w:sz w:val="24"/>
                <w:szCs w:val="24"/>
              </w:rPr>
            </w:pPr>
            <w:r w:rsidDel="00000000" w:rsidR="00000000" w:rsidRPr="00000000">
              <w:rPr>
                <w:rtl w:val="0"/>
              </w:rPr>
            </w:r>
          </w:p>
        </w:tc>
        <w:tc>
          <w:tcPr/>
          <w:p w:rsidR="00000000" w:rsidDel="00000000" w:rsidP="00000000" w:rsidRDefault="00000000" w:rsidRPr="00000000" w14:paraId="00000018">
            <w:pPr>
              <w:numPr>
                <w:ilvl w:val="0"/>
                <w:numId w:val="4"/>
              </w:numPr>
              <w:spacing w:line="240" w:lineRule="auto"/>
              <w:ind w:left="720" w:hanging="360"/>
              <w:rPr>
                <w:rFonts w:ascii="Arial" w:cs="Arial" w:eastAsia="Arial" w:hAnsi="Arial"/>
                <w:sz w:val="24"/>
                <w:szCs w:val="24"/>
              </w:rPr>
            </w:pPr>
            <w:r w:rsidDel="00000000" w:rsidR="00000000" w:rsidRPr="00000000">
              <w:rPr>
                <w:sz w:val="24"/>
                <w:szCs w:val="24"/>
                <w:rtl w:val="0"/>
              </w:rPr>
              <w:t xml:space="preserve">Fort- und Weiterbildungskosten</w:t>
            </w:r>
          </w:p>
          <w:p w:rsidR="00000000" w:rsidDel="00000000" w:rsidP="00000000" w:rsidRDefault="00000000" w:rsidRPr="00000000" w14:paraId="00000019">
            <w:pPr>
              <w:numPr>
                <w:ilvl w:val="0"/>
                <w:numId w:val="4"/>
              </w:numPr>
              <w:spacing w:line="240" w:lineRule="auto"/>
              <w:ind w:left="720" w:hanging="360"/>
              <w:rPr>
                <w:rFonts w:ascii="Arial" w:cs="Arial" w:eastAsia="Arial" w:hAnsi="Arial"/>
                <w:sz w:val="24"/>
                <w:szCs w:val="24"/>
              </w:rPr>
            </w:pPr>
            <w:r w:rsidDel="00000000" w:rsidR="00000000" w:rsidRPr="00000000">
              <w:rPr>
                <w:sz w:val="24"/>
                <w:szCs w:val="24"/>
                <w:rtl w:val="0"/>
              </w:rPr>
              <w:t xml:space="preserve">Honorarkosten</w:t>
            </w:r>
          </w:p>
          <w:p w:rsidR="00000000" w:rsidDel="00000000" w:rsidP="00000000" w:rsidRDefault="00000000" w:rsidRPr="00000000" w14:paraId="0000001A">
            <w:pPr>
              <w:numPr>
                <w:ilvl w:val="0"/>
                <w:numId w:val="4"/>
              </w:numPr>
              <w:spacing w:after="280" w:line="240" w:lineRule="auto"/>
              <w:ind w:left="720" w:hanging="360"/>
              <w:rPr>
                <w:rFonts w:ascii="Arial" w:cs="Arial" w:eastAsia="Arial" w:hAnsi="Arial"/>
                <w:sz w:val="24"/>
                <w:szCs w:val="24"/>
              </w:rPr>
            </w:pPr>
            <w:r w:rsidDel="00000000" w:rsidR="00000000" w:rsidRPr="00000000">
              <w:rPr>
                <w:sz w:val="24"/>
                <w:szCs w:val="24"/>
                <w:rtl w:val="0"/>
              </w:rPr>
              <w:t xml:space="preserve">Reisekosten</w:t>
            </w:r>
          </w:p>
          <w:p w:rsidR="00000000" w:rsidDel="00000000" w:rsidP="00000000" w:rsidRDefault="00000000" w:rsidRPr="00000000" w14:paraId="0000001B">
            <w:pPr>
              <w:spacing w:before="280" w:line="240" w:lineRule="auto"/>
              <w:rPr>
                <w:sz w:val="24"/>
                <w:szCs w:val="24"/>
              </w:rPr>
            </w:pPr>
            <w:r w:rsidDel="00000000" w:rsidR="00000000" w:rsidRPr="00000000">
              <w:rPr>
                <w:rtl w:val="0"/>
              </w:rPr>
            </w:r>
          </w:p>
        </w:tc>
      </w:tr>
    </w:tbl>
    <w:p w:rsidR="00000000" w:rsidDel="00000000" w:rsidP="00000000" w:rsidRDefault="00000000" w:rsidRPr="00000000" w14:paraId="0000001C">
      <w:pPr>
        <w:spacing w:after="280" w:before="280" w:line="240" w:lineRule="auto"/>
        <w:rPr>
          <w:b w:val="1"/>
          <w:sz w:val="27"/>
          <w:szCs w:val="27"/>
        </w:rPr>
      </w:pPr>
      <w:r w:rsidDel="00000000" w:rsidR="00000000" w:rsidRPr="00000000">
        <w:rPr>
          <w:rtl w:val="0"/>
        </w:rPr>
      </w:r>
    </w:p>
    <w:p w:rsidR="00000000" w:rsidDel="00000000" w:rsidP="00000000" w:rsidRDefault="00000000" w:rsidRPr="00000000" w14:paraId="0000001D">
      <w:pPr>
        <w:spacing w:after="280" w:before="280" w:line="240" w:lineRule="auto"/>
        <w:rPr>
          <w:b w:val="1"/>
          <w:sz w:val="27"/>
          <w:szCs w:val="27"/>
        </w:rPr>
      </w:pPr>
      <w:r w:rsidDel="00000000" w:rsidR="00000000" w:rsidRPr="00000000">
        <w:rPr>
          <w:b w:val="1"/>
          <w:sz w:val="27"/>
          <w:szCs w:val="27"/>
          <w:rtl w:val="0"/>
        </w:rPr>
        <w:t xml:space="preserve">3. Verfahren</w:t>
      </w:r>
    </w:p>
    <w:p w:rsidR="00000000" w:rsidDel="00000000" w:rsidP="00000000" w:rsidRDefault="00000000" w:rsidRPr="00000000" w14:paraId="0000001E">
      <w:pPr>
        <w:spacing w:after="280" w:before="280" w:line="240" w:lineRule="auto"/>
        <w:rPr>
          <w:sz w:val="24"/>
          <w:szCs w:val="24"/>
        </w:rPr>
      </w:pPr>
      <w:r w:rsidDel="00000000" w:rsidR="00000000" w:rsidRPr="00000000">
        <w:rPr>
          <w:sz w:val="24"/>
          <w:szCs w:val="24"/>
          <w:rtl w:val="0"/>
        </w:rPr>
        <w:t xml:space="preserve">Bewerber*innen nutzen das Online-Formular auf der Webseite der VielRespektStiftung und können jeweils zu den Stichtagen 31. März und 30. September ihre Projektideen einreichen. Bewerbungszeiten sind zwischen 01. Januar bis zum 31. März und vom 01. Juli bis zum 01. September. Pro Bewerbung müssen mind. zwei Personen als Kontakt- und Ansprechpartner*innen benannt werden.</w:t>
      </w:r>
    </w:p>
    <w:p w:rsidR="00000000" w:rsidDel="00000000" w:rsidP="00000000" w:rsidRDefault="00000000" w:rsidRPr="00000000" w14:paraId="0000001F">
      <w:pPr>
        <w:spacing w:after="280" w:before="280" w:line="240" w:lineRule="auto"/>
        <w:rPr>
          <w:sz w:val="24"/>
          <w:szCs w:val="24"/>
        </w:rPr>
      </w:pPr>
      <w:r w:rsidDel="00000000" w:rsidR="00000000" w:rsidRPr="00000000">
        <w:rPr>
          <w:sz w:val="24"/>
          <w:szCs w:val="24"/>
          <w:rtl w:val="0"/>
        </w:rPr>
        <w:t xml:space="preserve">Steuerbegünstigte Körperschaften (wie gemeinnützige Vereine) müssen ihren aktuellen Freistellungsbescheid zur Körperschaftsteuer in Kopie vorlegen.</w:t>
      </w:r>
    </w:p>
    <w:p w:rsidR="00000000" w:rsidDel="00000000" w:rsidP="00000000" w:rsidRDefault="00000000" w:rsidRPr="00000000" w14:paraId="00000020">
      <w:pPr>
        <w:spacing w:after="280" w:before="280" w:line="240" w:lineRule="auto"/>
        <w:rPr>
          <w:b w:val="1"/>
        </w:rPr>
      </w:pPr>
      <w:r w:rsidDel="00000000" w:rsidR="00000000" w:rsidRPr="00000000">
        <w:rPr>
          <w:sz w:val="24"/>
          <w:szCs w:val="24"/>
          <w:rtl w:val="0"/>
        </w:rPr>
        <w:t xml:space="preserve">Eine Jury berät und entscheidet über die eingegangenen Bewerbungen.</w:t>
        <w:br w:type="textWrapping"/>
        <w:t xml:space="preserve">Sind die Kriterien erfüllt und hat die Jury einen Beschluss über eine Auszeichnung gefasst, wird der Betrag nach Vorlage der Mittelanforderung ausgezahlt. Alle Bewerber*innen erhalten spätestens sechs Wochen nach der jeweiligen Bewerbungsfrist eine Rückmeldung über die Entscheidung der Jury.</w:t>
      </w:r>
      <w:r w:rsidDel="00000000" w:rsidR="00000000" w:rsidRPr="00000000">
        <w:rPr>
          <w:rtl w:val="0"/>
        </w:rPr>
      </w:r>
    </w:p>
    <w:p w:rsidR="00000000" w:rsidDel="00000000" w:rsidP="00000000" w:rsidRDefault="00000000" w:rsidRPr="00000000" w14:paraId="00000021">
      <w:pPr>
        <w:spacing w:after="280" w:before="280" w:line="240" w:lineRule="auto"/>
        <w:rPr>
          <w:b w:val="1"/>
          <w:sz w:val="27"/>
          <w:szCs w:val="27"/>
        </w:rPr>
      </w:pPr>
      <w:r w:rsidDel="00000000" w:rsidR="00000000" w:rsidRPr="00000000">
        <w:br w:type="page"/>
      </w:r>
      <w:r w:rsidDel="00000000" w:rsidR="00000000" w:rsidRPr="00000000">
        <w:rPr>
          <w:rtl w:val="0"/>
        </w:rPr>
      </w:r>
    </w:p>
    <w:p w:rsidR="00000000" w:rsidDel="00000000" w:rsidP="00000000" w:rsidRDefault="00000000" w:rsidRPr="00000000" w14:paraId="00000022">
      <w:pPr>
        <w:spacing w:after="280" w:before="280" w:line="240" w:lineRule="auto"/>
        <w:rPr>
          <w:sz w:val="32"/>
          <w:szCs w:val="32"/>
        </w:rPr>
      </w:pPr>
      <w:r w:rsidDel="00000000" w:rsidR="00000000" w:rsidRPr="00000000">
        <w:rPr>
          <w:b w:val="1"/>
          <w:sz w:val="27"/>
          <w:szCs w:val="27"/>
          <w:rtl w:val="0"/>
        </w:rPr>
        <w:t xml:space="preserve">4. Förderfähige Bereiche</w:t>
      </w:r>
      <w:r w:rsidDel="00000000" w:rsidR="00000000" w:rsidRPr="00000000">
        <w:rPr>
          <w:rtl w:val="0"/>
        </w:rPr>
      </w:r>
    </w:p>
    <w:p w:rsidR="00000000" w:rsidDel="00000000" w:rsidP="00000000" w:rsidRDefault="00000000" w:rsidRPr="00000000" w14:paraId="00000023">
      <w:pPr>
        <w:spacing w:after="280" w:before="280" w:line="240" w:lineRule="auto"/>
        <w:rPr>
          <w:sz w:val="24"/>
          <w:szCs w:val="24"/>
        </w:rPr>
      </w:pPr>
      <w:r w:rsidDel="00000000" w:rsidR="00000000" w:rsidRPr="00000000">
        <w:rPr>
          <w:sz w:val="24"/>
          <w:szCs w:val="24"/>
          <w:rtl w:val="0"/>
        </w:rPr>
        <w:t xml:space="preserve">Unsere drei förderfähigen Bereiche unter dem Oberthema </w:t>
      </w:r>
      <w:r w:rsidDel="00000000" w:rsidR="00000000" w:rsidRPr="00000000">
        <w:rPr>
          <w:b w:val="1"/>
          <w:sz w:val="24"/>
          <w:szCs w:val="24"/>
          <w:rtl w:val="0"/>
        </w:rPr>
        <w:t xml:space="preserve">„Vielfalt und Respekt“ </w:t>
      </w:r>
      <w:r w:rsidDel="00000000" w:rsidR="00000000" w:rsidRPr="00000000">
        <w:rPr>
          <w:sz w:val="24"/>
          <w:szCs w:val="24"/>
          <w:rtl w:val="0"/>
        </w:rPr>
        <w:t xml:space="preserve">sind </w:t>
      </w:r>
    </w:p>
    <w:tbl>
      <w:tblPr>
        <w:tblStyle w:val="Table2"/>
        <w:tblW w:w="80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15"/>
        <w:gridCol w:w="2775"/>
        <w:gridCol w:w="2550"/>
        <w:tblGridChange w:id="0">
          <w:tblGrid>
            <w:gridCol w:w="2715"/>
            <w:gridCol w:w="2775"/>
            <w:gridCol w:w="2550"/>
          </w:tblGrid>
        </w:tblGridChange>
      </w:tblGrid>
      <w:tr>
        <w:trPr>
          <w:cantSplit w:val="0"/>
          <w:trHeight w:val="50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numPr>
                <w:ilvl w:val="0"/>
                <w:numId w:val="1"/>
              </w:numPr>
              <w:spacing w:line="240" w:lineRule="auto"/>
              <w:ind w:left="1080" w:hanging="720"/>
              <w:rPr>
                <w:b w:val="1"/>
                <w:sz w:val="24"/>
                <w:szCs w:val="24"/>
              </w:rPr>
            </w:pPr>
            <w:r w:rsidDel="00000000" w:rsidR="00000000" w:rsidRPr="00000000">
              <w:rPr>
                <w:b w:val="1"/>
                <w:sz w:val="24"/>
                <w:szCs w:val="24"/>
                <w:rtl w:val="0"/>
              </w:rPr>
              <w:t xml:space="preserve">Bereich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spacing w:line="240" w:lineRule="auto"/>
              <w:ind w:left="360" w:firstLine="0"/>
              <w:rPr>
                <w:b w:val="1"/>
                <w:sz w:val="24"/>
                <w:szCs w:val="24"/>
              </w:rPr>
            </w:pPr>
            <w:r w:rsidDel="00000000" w:rsidR="00000000" w:rsidRPr="00000000">
              <w:rPr>
                <w:b w:val="1"/>
                <w:sz w:val="24"/>
                <w:szCs w:val="24"/>
                <w:rtl w:val="0"/>
              </w:rPr>
              <w:t xml:space="preserve">II. Bereich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numPr>
                <w:ilvl w:val="0"/>
                <w:numId w:val="3"/>
              </w:numPr>
              <w:spacing w:line="240" w:lineRule="auto"/>
              <w:ind w:left="760" w:hanging="720"/>
              <w:rPr>
                <w:b w:val="1"/>
                <w:sz w:val="24"/>
                <w:szCs w:val="24"/>
              </w:rPr>
            </w:pPr>
            <w:r w:rsidDel="00000000" w:rsidR="00000000" w:rsidRPr="00000000">
              <w:rPr>
                <w:b w:val="1"/>
                <w:sz w:val="24"/>
                <w:szCs w:val="24"/>
                <w:rtl w:val="0"/>
              </w:rPr>
              <w:t xml:space="preserve">Bereich</w:t>
            </w:r>
          </w:p>
        </w:tc>
      </w:tr>
      <w:tr>
        <w:trPr>
          <w:cantSplit w:val="0"/>
          <w:trHeight w:val="50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spacing w:line="240" w:lineRule="auto"/>
              <w:ind w:left="850.3937007874017" w:hanging="720"/>
              <w:rPr>
                <w:b w:val="1"/>
                <w:sz w:val="24"/>
                <w:szCs w:val="24"/>
              </w:rPr>
            </w:pPr>
            <w:r w:rsidDel="00000000" w:rsidR="00000000" w:rsidRPr="00000000">
              <w:rPr>
                <w:b w:val="1"/>
                <w:sz w:val="24"/>
                <w:szCs w:val="24"/>
                <w:rtl w:val="0"/>
              </w:rPr>
              <w:t xml:space="preserve">Neue Perspektiven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line="240" w:lineRule="auto"/>
              <w:ind w:left="360" w:firstLine="0"/>
              <w:rPr>
                <w:b w:val="1"/>
                <w:sz w:val="24"/>
                <w:szCs w:val="24"/>
              </w:rPr>
            </w:pPr>
            <w:r w:rsidDel="00000000" w:rsidR="00000000" w:rsidRPr="00000000">
              <w:rPr>
                <w:b w:val="1"/>
                <w:sz w:val="24"/>
                <w:szCs w:val="24"/>
                <w:rtl w:val="0"/>
              </w:rPr>
              <w:t xml:space="preserve">Migration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line="240" w:lineRule="auto"/>
              <w:ind w:left="760" w:hanging="720"/>
              <w:rPr>
                <w:b w:val="1"/>
                <w:sz w:val="24"/>
                <w:szCs w:val="24"/>
              </w:rPr>
            </w:pPr>
            <w:r w:rsidDel="00000000" w:rsidR="00000000" w:rsidRPr="00000000">
              <w:rPr>
                <w:b w:val="1"/>
                <w:sz w:val="24"/>
                <w:szCs w:val="24"/>
                <w:rtl w:val="0"/>
              </w:rPr>
              <w:t xml:space="preserve">Antidiskriminierung</w:t>
            </w:r>
          </w:p>
        </w:tc>
      </w:tr>
      <w:tr>
        <w:trPr>
          <w:cantSplit w:val="0"/>
          <w:trHeight w:val="29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spacing w:after="280" w:line="240" w:lineRule="auto"/>
              <w:rPr>
                <w:sz w:val="24"/>
                <w:szCs w:val="24"/>
              </w:rPr>
            </w:pPr>
            <w:r w:rsidDel="00000000" w:rsidR="00000000" w:rsidRPr="00000000">
              <w:rPr>
                <w:sz w:val="24"/>
                <w:szCs w:val="24"/>
                <w:rtl w:val="0"/>
              </w:rPr>
              <w:t xml:space="preserve">Begegnungen zwischen “Informationsblasen”, Andersdenkenden und Menschen unterschiedlicher Hintergründe;</w:t>
            </w:r>
          </w:p>
          <w:p w:rsidR="00000000" w:rsidDel="00000000" w:rsidP="00000000" w:rsidRDefault="00000000" w:rsidRPr="00000000" w14:paraId="0000002B">
            <w:pPr>
              <w:spacing w:after="280" w:before="280" w:line="240" w:lineRule="auto"/>
              <w:rPr>
                <w:sz w:val="24"/>
                <w:szCs w:val="24"/>
              </w:rPr>
            </w:pPr>
            <w:r w:rsidDel="00000000" w:rsidR="00000000" w:rsidRPr="00000000">
              <w:rPr>
                <w:sz w:val="24"/>
                <w:szCs w:val="24"/>
                <w:rtl w:val="0"/>
              </w:rPr>
              <w:t xml:space="preserve">Streitkultur</w:t>
            </w:r>
          </w:p>
          <w:p w:rsidR="00000000" w:rsidDel="00000000" w:rsidP="00000000" w:rsidRDefault="00000000" w:rsidRPr="00000000" w14:paraId="0000002C">
            <w:pPr>
              <w:spacing w:after="280" w:before="280" w:line="240" w:lineRule="auto"/>
              <w:rPr>
                <w:sz w:val="24"/>
                <w:szCs w:val="24"/>
              </w:rPr>
            </w:pPr>
            <w:r w:rsidDel="00000000" w:rsidR="00000000" w:rsidRPr="00000000">
              <w:rPr>
                <w:sz w:val="24"/>
                <w:szCs w:val="24"/>
                <w:rtl w:val="0"/>
              </w:rPr>
              <w:t xml:space="preserve">Bewerbung und Sichtbarmachen von Vielfalt / Stärkung von Diversity</w:t>
            </w:r>
          </w:p>
          <w:p w:rsidR="00000000" w:rsidDel="00000000" w:rsidP="00000000" w:rsidRDefault="00000000" w:rsidRPr="00000000" w14:paraId="0000002D">
            <w:pPr>
              <w:spacing w:after="280" w:before="28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after="280" w:line="240" w:lineRule="auto"/>
              <w:rPr>
                <w:sz w:val="24"/>
                <w:szCs w:val="24"/>
              </w:rPr>
            </w:pPr>
            <w:r w:rsidDel="00000000" w:rsidR="00000000" w:rsidRPr="00000000">
              <w:rPr>
                <w:sz w:val="24"/>
                <w:szCs w:val="24"/>
                <w:rtl w:val="0"/>
              </w:rPr>
              <w:t xml:space="preserve">Integrations- und Partizipationsarbeit im Bereich Migration, Flucht und Asyl;</w:t>
            </w:r>
          </w:p>
          <w:p w:rsidR="00000000" w:rsidDel="00000000" w:rsidP="00000000" w:rsidRDefault="00000000" w:rsidRPr="00000000" w14:paraId="0000002F">
            <w:pPr>
              <w:spacing w:after="280" w:before="280" w:line="240" w:lineRule="auto"/>
              <w:rPr>
                <w:sz w:val="24"/>
                <w:szCs w:val="24"/>
              </w:rPr>
            </w:pPr>
            <w:r w:rsidDel="00000000" w:rsidR="00000000" w:rsidRPr="00000000">
              <w:rPr>
                <w:sz w:val="24"/>
                <w:szCs w:val="24"/>
                <w:rtl w:val="0"/>
              </w:rPr>
              <w:t xml:space="preserve">Stärkung der demokratischen Teilhabe</w:t>
            </w:r>
          </w:p>
          <w:p w:rsidR="00000000" w:rsidDel="00000000" w:rsidP="00000000" w:rsidRDefault="00000000" w:rsidRPr="00000000" w14:paraId="00000030">
            <w:pPr>
              <w:spacing w:before="280" w:line="240" w:lineRule="auto"/>
              <w:rPr>
                <w:sz w:val="24"/>
                <w:szCs w:val="24"/>
              </w:rPr>
            </w:pPr>
            <w:r w:rsidDel="00000000" w:rsidR="00000000" w:rsidRPr="00000000">
              <w:rPr>
                <w:sz w:val="24"/>
                <w:szCs w:val="24"/>
                <w:rtl w:val="0"/>
              </w:rPr>
              <w:t xml:space="preserve">Neue Deutsche Identitäten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after="280" w:line="240" w:lineRule="auto"/>
              <w:rPr>
                <w:sz w:val="24"/>
                <w:szCs w:val="24"/>
              </w:rPr>
            </w:pPr>
            <w:r w:rsidDel="00000000" w:rsidR="00000000" w:rsidRPr="00000000">
              <w:rPr>
                <w:sz w:val="24"/>
                <w:szCs w:val="24"/>
                <w:rtl w:val="0"/>
              </w:rPr>
              <w:t xml:space="preserve">Antirassismus</w:t>
            </w:r>
          </w:p>
          <w:p w:rsidR="00000000" w:rsidDel="00000000" w:rsidP="00000000" w:rsidRDefault="00000000" w:rsidRPr="00000000" w14:paraId="00000032">
            <w:pPr>
              <w:spacing w:before="280" w:line="240" w:lineRule="auto"/>
              <w:rPr>
                <w:sz w:val="24"/>
                <w:szCs w:val="24"/>
              </w:rPr>
            </w:pPr>
            <w:r w:rsidDel="00000000" w:rsidR="00000000" w:rsidRPr="00000000">
              <w:rPr>
                <w:sz w:val="24"/>
                <w:szCs w:val="24"/>
                <w:rtl w:val="0"/>
              </w:rPr>
              <w:t xml:space="preserve">Feminismus </w:t>
            </w:r>
          </w:p>
          <w:p w:rsidR="00000000" w:rsidDel="00000000" w:rsidP="00000000" w:rsidRDefault="00000000" w:rsidRPr="00000000" w14:paraId="00000033">
            <w:pPr>
              <w:spacing w:before="280" w:line="240" w:lineRule="auto"/>
              <w:rPr>
                <w:sz w:val="24"/>
                <w:szCs w:val="24"/>
              </w:rPr>
            </w:pPr>
            <w:r w:rsidDel="00000000" w:rsidR="00000000" w:rsidRPr="00000000">
              <w:rPr>
                <w:sz w:val="24"/>
                <w:szCs w:val="24"/>
                <w:rtl w:val="0"/>
              </w:rPr>
              <w:t xml:space="preserve">LGBTQIA+</w:t>
            </w:r>
          </w:p>
          <w:p w:rsidR="00000000" w:rsidDel="00000000" w:rsidP="00000000" w:rsidRDefault="00000000" w:rsidRPr="00000000" w14:paraId="00000034">
            <w:pPr>
              <w:spacing w:before="280" w:line="240" w:lineRule="auto"/>
              <w:rPr>
                <w:sz w:val="24"/>
                <w:szCs w:val="24"/>
              </w:rPr>
            </w:pPr>
            <w:r w:rsidDel="00000000" w:rsidR="00000000" w:rsidRPr="00000000">
              <w:rPr>
                <w:sz w:val="24"/>
                <w:szCs w:val="24"/>
                <w:rtl w:val="0"/>
              </w:rPr>
              <w:t xml:space="preserve">Interreligiösität</w:t>
            </w:r>
          </w:p>
          <w:p w:rsidR="00000000" w:rsidDel="00000000" w:rsidP="00000000" w:rsidRDefault="00000000" w:rsidRPr="00000000" w14:paraId="00000035">
            <w:pPr>
              <w:spacing w:before="280" w:line="240" w:lineRule="auto"/>
              <w:rPr>
                <w:sz w:val="24"/>
                <w:szCs w:val="24"/>
              </w:rPr>
            </w:pPr>
            <w:r w:rsidDel="00000000" w:rsidR="00000000" w:rsidRPr="00000000">
              <w:rPr>
                <w:sz w:val="24"/>
                <w:szCs w:val="24"/>
                <w:rtl w:val="0"/>
              </w:rPr>
              <w:t xml:space="preserve">Intergenerationalität</w:t>
            </w:r>
          </w:p>
        </w:tc>
      </w:tr>
    </w:tbl>
    <w:p w:rsidR="00000000" w:rsidDel="00000000" w:rsidP="00000000" w:rsidRDefault="00000000" w:rsidRPr="00000000" w14:paraId="00000036">
      <w:pPr>
        <w:spacing w:line="240" w:lineRule="auto"/>
        <w:rPr>
          <w:sz w:val="24"/>
          <w:szCs w:val="24"/>
        </w:rPr>
      </w:pPr>
      <w:r w:rsidDel="00000000" w:rsidR="00000000" w:rsidRPr="00000000">
        <w:rPr>
          <w:rtl w:val="0"/>
        </w:rPr>
      </w:r>
    </w:p>
    <w:p w:rsidR="00000000" w:rsidDel="00000000" w:rsidP="00000000" w:rsidRDefault="00000000" w:rsidRPr="00000000" w14:paraId="00000037">
      <w:pPr>
        <w:spacing w:line="240" w:lineRule="auto"/>
        <w:rPr>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38">
      <w:pPr>
        <w:spacing w:line="240" w:lineRule="auto"/>
        <w:rPr>
          <w:b w:val="1"/>
          <w:sz w:val="24"/>
          <w:szCs w:val="24"/>
        </w:rPr>
      </w:pPr>
      <w:r w:rsidDel="00000000" w:rsidR="00000000" w:rsidRPr="00000000">
        <w:rPr>
          <w:b w:val="1"/>
          <w:sz w:val="24"/>
          <w:szCs w:val="24"/>
          <w:rtl w:val="0"/>
        </w:rPr>
        <w:t xml:space="preserve">Vielfalt handelt für uns von</w:t>
      </w:r>
    </w:p>
    <w:p w:rsidR="00000000" w:rsidDel="00000000" w:rsidP="00000000" w:rsidRDefault="00000000" w:rsidRPr="00000000" w14:paraId="00000039">
      <w:pPr>
        <w:spacing w:line="240" w:lineRule="auto"/>
        <w:rPr>
          <w:sz w:val="24"/>
          <w:szCs w:val="24"/>
        </w:rPr>
      </w:pPr>
      <w:r w:rsidDel="00000000" w:rsidR="00000000" w:rsidRPr="00000000">
        <w:rPr>
          <w:rtl w:val="0"/>
        </w:rPr>
      </w:r>
    </w:p>
    <w:p w:rsidR="00000000" w:rsidDel="00000000" w:rsidP="00000000" w:rsidRDefault="00000000" w:rsidRPr="00000000" w14:paraId="0000003A">
      <w:pPr>
        <w:numPr>
          <w:ilvl w:val="0"/>
          <w:numId w:val="2"/>
        </w:numPr>
        <w:spacing w:line="240" w:lineRule="auto"/>
        <w:ind w:left="720" w:hanging="360"/>
        <w:rPr>
          <w:sz w:val="24"/>
          <w:szCs w:val="24"/>
        </w:rPr>
      </w:pPr>
      <w:r w:rsidDel="00000000" w:rsidR="00000000" w:rsidRPr="00000000">
        <w:rPr>
          <w:sz w:val="24"/>
          <w:szCs w:val="24"/>
          <w:rtl w:val="0"/>
        </w:rPr>
        <w:t xml:space="preserve">Veränderungen, die Vielfalt mit sich bringt und dem Umgang damit</w:t>
      </w:r>
    </w:p>
    <w:p w:rsidR="00000000" w:rsidDel="00000000" w:rsidP="00000000" w:rsidRDefault="00000000" w:rsidRPr="00000000" w14:paraId="0000003B">
      <w:pPr>
        <w:numPr>
          <w:ilvl w:val="0"/>
          <w:numId w:val="2"/>
        </w:numPr>
        <w:spacing w:line="240" w:lineRule="auto"/>
        <w:ind w:left="720" w:hanging="360"/>
        <w:rPr>
          <w:sz w:val="24"/>
          <w:szCs w:val="24"/>
        </w:rPr>
      </w:pPr>
      <w:r w:rsidDel="00000000" w:rsidR="00000000" w:rsidRPr="00000000">
        <w:rPr>
          <w:sz w:val="24"/>
          <w:szCs w:val="24"/>
          <w:rtl w:val="0"/>
        </w:rPr>
        <w:t xml:space="preserve">mehr Akzeptanz für Vielfalt in allen gesellschaftlichen Bereichen</w:t>
      </w:r>
    </w:p>
    <w:p w:rsidR="00000000" w:rsidDel="00000000" w:rsidP="00000000" w:rsidRDefault="00000000" w:rsidRPr="00000000" w14:paraId="0000003C">
      <w:pPr>
        <w:numPr>
          <w:ilvl w:val="0"/>
          <w:numId w:val="2"/>
        </w:numPr>
        <w:spacing w:line="240" w:lineRule="auto"/>
        <w:ind w:left="720" w:hanging="360"/>
        <w:rPr>
          <w:sz w:val="24"/>
          <w:szCs w:val="24"/>
        </w:rPr>
      </w:pPr>
      <w:r w:rsidDel="00000000" w:rsidR="00000000" w:rsidRPr="00000000">
        <w:rPr>
          <w:sz w:val="24"/>
          <w:szCs w:val="24"/>
          <w:rtl w:val="0"/>
        </w:rPr>
        <w:t xml:space="preserve">der Repräsentanz unterrepräsentierter (marginalisierter, diskriminierter) Gruppen</w:t>
      </w:r>
    </w:p>
    <w:p w:rsidR="00000000" w:rsidDel="00000000" w:rsidP="00000000" w:rsidRDefault="00000000" w:rsidRPr="00000000" w14:paraId="0000003D">
      <w:pPr>
        <w:numPr>
          <w:ilvl w:val="0"/>
          <w:numId w:val="2"/>
        </w:numPr>
        <w:spacing w:line="240" w:lineRule="auto"/>
        <w:ind w:left="720" w:hanging="360"/>
        <w:rPr>
          <w:sz w:val="24"/>
          <w:szCs w:val="24"/>
        </w:rPr>
      </w:pPr>
      <w:r w:rsidDel="00000000" w:rsidR="00000000" w:rsidRPr="00000000">
        <w:rPr>
          <w:sz w:val="24"/>
          <w:szCs w:val="24"/>
          <w:rtl w:val="0"/>
        </w:rPr>
        <w:t xml:space="preserve">der Förderung der Diversität entlang verschiedener Marker (Alter, Behinderung, Hautfarbe, Ethnie, Geschlechtsidentität, sexuelle Orientierung, und Religion)</w:t>
      </w:r>
    </w:p>
    <w:p w:rsidR="00000000" w:rsidDel="00000000" w:rsidP="00000000" w:rsidRDefault="00000000" w:rsidRPr="00000000" w14:paraId="0000003E">
      <w:pPr>
        <w:numPr>
          <w:ilvl w:val="0"/>
          <w:numId w:val="2"/>
        </w:numPr>
        <w:spacing w:line="240" w:lineRule="auto"/>
        <w:ind w:left="720" w:hanging="360"/>
        <w:rPr>
          <w:sz w:val="24"/>
          <w:szCs w:val="24"/>
        </w:rPr>
      </w:pPr>
      <w:r w:rsidDel="00000000" w:rsidR="00000000" w:rsidRPr="00000000">
        <w:rPr>
          <w:sz w:val="24"/>
          <w:szCs w:val="24"/>
          <w:rtl w:val="0"/>
        </w:rPr>
        <w:t xml:space="preserve">der Bewerbung der Vielfalt als Grundprinzip und Mehrwert von Diversität</w:t>
      </w:r>
    </w:p>
    <w:p w:rsidR="00000000" w:rsidDel="00000000" w:rsidP="00000000" w:rsidRDefault="00000000" w:rsidRPr="00000000" w14:paraId="0000003F">
      <w:pPr>
        <w:numPr>
          <w:ilvl w:val="0"/>
          <w:numId w:val="2"/>
        </w:numPr>
        <w:spacing w:line="240" w:lineRule="auto"/>
        <w:ind w:left="720" w:hanging="360"/>
        <w:rPr>
          <w:sz w:val="24"/>
          <w:szCs w:val="24"/>
        </w:rPr>
      </w:pPr>
      <w:r w:rsidDel="00000000" w:rsidR="00000000" w:rsidRPr="00000000">
        <w:rPr>
          <w:sz w:val="24"/>
          <w:szCs w:val="24"/>
          <w:rtl w:val="0"/>
        </w:rPr>
        <w:t xml:space="preserve">der Fülle von Optionen und Chancen, die durch Vielfalt entsteht – Und weil einiges geschieht, was persönlich für nicht gut befunden wird, geht es auch um Toleranz</w:t>
      </w:r>
    </w:p>
    <w:p w:rsidR="00000000" w:rsidDel="00000000" w:rsidP="00000000" w:rsidRDefault="00000000" w:rsidRPr="00000000" w14:paraId="00000040">
      <w:pPr>
        <w:numPr>
          <w:ilvl w:val="0"/>
          <w:numId w:val="2"/>
        </w:numPr>
        <w:spacing w:line="240" w:lineRule="auto"/>
        <w:ind w:left="720" w:hanging="360"/>
        <w:rPr>
          <w:sz w:val="24"/>
          <w:szCs w:val="24"/>
        </w:rPr>
      </w:pPr>
      <w:r w:rsidDel="00000000" w:rsidR="00000000" w:rsidRPr="00000000">
        <w:rPr>
          <w:sz w:val="24"/>
          <w:szCs w:val="24"/>
          <w:rtl w:val="0"/>
        </w:rPr>
        <w:t xml:space="preserve">beschleunigten gesellschaftlichen Entwicklungen </w:t>
      </w:r>
    </w:p>
    <w:p w:rsidR="00000000" w:rsidDel="00000000" w:rsidP="00000000" w:rsidRDefault="00000000" w:rsidRPr="00000000" w14:paraId="00000041">
      <w:pPr>
        <w:numPr>
          <w:ilvl w:val="0"/>
          <w:numId w:val="2"/>
        </w:numPr>
        <w:spacing w:line="240" w:lineRule="auto"/>
        <w:ind w:left="720" w:hanging="360"/>
        <w:rPr>
          <w:sz w:val="24"/>
          <w:szCs w:val="24"/>
        </w:rPr>
      </w:pPr>
      <w:r w:rsidDel="00000000" w:rsidR="00000000" w:rsidRPr="00000000">
        <w:rPr>
          <w:sz w:val="24"/>
          <w:szCs w:val="24"/>
          <w:rtl w:val="0"/>
        </w:rPr>
        <w:t xml:space="preserve">der Vielfalt der Sprachen und “Kulturen” </w:t>
      </w:r>
    </w:p>
    <w:p w:rsidR="00000000" w:rsidDel="00000000" w:rsidP="00000000" w:rsidRDefault="00000000" w:rsidRPr="00000000" w14:paraId="00000042">
      <w:pPr>
        <w:numPr>
          <w:ilvl w:val="0"/>
          <w:numId w:val="2"/>
        </w:numPr>
        <w:spacing w:line="240" w:lineRule="auto"/>
        <w:ind w:left="720" w:hanging="360"/>
        <w:rPr>
          <w:sz w:val="24"/>
          <w:szCs w:val="24"/>
        </w:rPr>
      </w:pPr>
      <w:r w:rsidDel="00000000" w:rsidR="00000000" w:rsidRPr="00000000">
        <w:rPr>
          <w:sz w:val="24"/>
          <w:szCs w:val="24"/>
          <w:rtl w:val="0"/>
        </w:rPr>
        <w:t xml:space="preserve">einem neuen deutschen Gesellschaftsverständnis, das die Vielfalt widerspiegelt</w:t>
      </w:r>
    </w:p>
    <w:p w:rsidR="00000000" w:rsidDel="00000000" w:rsidP="00000000" w:rsidRDefault="00000000" w:rsidRPr="00000000" w14:paraId="00000043">
      <w:pPr>
        <w:spacing w:line="240" w:lineRule="auto"/>
        <w:rPr>
          <w:sz w:val="24"/>
          <w:szCs w:val="24"/>
        </w:rPr>
      </w:pPr>
      <w:r w:rsidDel="00000000" w:rsidR="00000000" w:rsidRPr="00000000">
        <w:rPr>
          <w:rtl w:val="0"/>
        </w:rPr>
      </w:r>
    </w:p>
    <w:p w:rsidR="00000000" w:rsidDel="00000000" w:rsidP="00000000" w:rsidRDefault="00000000" w:rsidRPr="00000000" w14:paraId="00000044">
      <w:pPr>
        <w:spacing w:line="240" w:lineRule="auto"/>
        <w:rPr>
          <w:b w:val="1"/>
          <w:sz w:val="24"/>
          <w:szCs w:val="24"/>
        </w:rPr>
      </w:pPr>
      <w:r w:rsidDel="00000000" w:rsidR="00000000" w:rsidRPr="00000000">
        <w:rPr>
          <w:b w:val="1"/>
          <w:sz w:val="24"/>
          <w:szCs w:val="24"/>
          <w:rtl w:val="0"/>
        </w:rPr>
        <w:t xml:space="preserve">Respekt handelt für uns von</w:t>
      </w:r>
    </w:p>
    <w:p w:rsidR="00000000" w:rsidDel="00000000" w:rsidP="00000000" w:rsidRDefault="00000000" w:rsidRPr="00000000" w14:paraId="00000045">
      <w:pPr>
        <w:spacing w:line="240" w:lineRule="auto"/>
        <w:rPr>
          <w:sz w:val="24"/>
          <w:szCs w:val="24"/>
        </w:rPr>
      </w:pPr>
      <w:r w:rsidDel="00000000" w:rsidR="00000000" w:rsidRPr="00000000">
        <w:rPr>
          <w:rtl w:val="0"/>
        </w:rPr>
      </w:r>
    </w:p>
    <w:p w:rsidR="00000000" w:rsidDel="00000000" w:rsidP="00000000" w:rsidRDefault="00000000" w:rsidRPr="00000000" w14:paraId="00000046">
      <w:pPr>
        <w:numPr>
          <w:ilvl w:val="0"/>
          <w:numId w:val="6"/>
        </w:numPr>
        <w:spacing w:line="240" w:lineRule="auto"/>
        <w:ind w:left="720" w:hanging="360"/>
        <w:rPr>
          <w:sz w:val="24"/>
          <w:szCs w:val="24"/>
        </w:rPr>
      </w:pPr>
      <w:r w:rsidDel="00000000" w:rsidR="00000000" w:rsidRPr="00000000">
        <w:rPr>
          <w:sz w:val="24"/>
          <w:szCs w:val="24"/>
          <w:rtl w:val="0"/>
        </w:rPr>
        <w:t xml:space="preserve">der Achtung der Würde</w:t>
      </w:r>
    </w:p>
    <w:p w:rsidR="00000000" w:rsidDel="00000000" w:rsidP="00000000" w:rsidRDefault="00000000" w:rsidRPr="00000000" w14:paraId="00000047">
      <w:pPr>
        <w:numPr>
          <w:ilvl w:val="0"/>
          <w:numId w:val="6"/>
        </w:numPr>
        <w:spacing w:line="240" w:lineRule="auto"/>
        <w:ind w:left="720" w:hanging="360"/>
        <w:rPr>
          <w:sz w:val="24"/>
          <w:szCs w:val="24"/>
        </w:rPr>
      </w:pPr>
      <w:r w:rsidDel="00000000" w:rsidR="00000000" w:rsidRPr="00000000">
        <w:rPr>
          <w:sz w:val="24"/>
          <w:szCs w:val="24"/>
          <w:rtl w:val="0"/>
        </w:rPr>
        <w:t xml:space="preserve">Rahmenbedingungen, Maßnahmen, Methoden und Tools zu einem respektvollen Miteinander in Konfliktsituationen, um Ressentiments, Groll, Vorbehalte und Ausgrenzung aufzubrechen</w:t>
      </w:r>
    </w:p>
    <w:p w:rsidR="00000000" w:rsidDel="00000000" w:rsidP="00000000" w:rsidRDefault="00000000" w:rsidRPr="00000000" w14:paraId="00000048">
      <w:pPr>
        <w:numPr>
          <w:ilvl w:val="0"/>
          <w:numId w:val="6"/>
        </w:numPr>
        <w:spacing w:line="240" w:lineRule="auto"/>
        <w:ind w:left="720" w:hanging="360"/>
        <w:rPr>
          <w:sz w:val="24"/>
          <w:szCs w:val="24"/>
        </w:rPr>
      </w:pPr>
      <w:r w:rsidDel="00000000" w:rsidR="00000000" w:rsidRPr="00000000">
        <w:rPr>
          <w:sz w:val="24"/>
          <w:szCs w:val="24"/>
          <w:rtl w:val="0"/>
        </w:rPr>
        <w:t xml:space="preserve">der Suche nach einem Wertekonsens</w:t>
      </w:r>
    </w:p>
    <w:p w:rsidR="00000000" w:rsidDel="00000000" w:rsidP="00000000" w:rsidRDefault="00000000" w:rsidRPr="00000000" w14:paraId="00000049">
      <w:pPr>
        <w:numPr>
          <w:ilvl w:val="0"/>
          <w:numId w:val="6"/>
        </w:numPr>
        <w:spacing w:line="240" w:lineRule="auto"/>
        <w:ind w:left="720" w:hanging="360"/>
        <w:rPr>
          <w:sz w:val="24"/>
          <w:szCs w:val="24"/>
        </w:rPr>
      </w:pPr>
      <w:r w:rsidDel="00000000" w:rsidR="00000000" w:rsidRPr="00000000">
        <w:rPr>
          <w:sz w:val="24"/>
          <w:szCs w:val="24"/>
          <w:rtl w:val="0"/>
        </w:rPr>
        <w:t xml:space="preserve">Ideen, die das praktische Miteinander in einem heterogenen Kontext fördern</w:t>
      </w:r>
    </w:p>
    <w:p w:rsidR="00000000" w:rsidDel="00000000" w:rsidP="00000000" w:rsidRDefault="00000000" w:rsidRPr="00000000" w14:paraId="0000004A">
      <w:pPr>
        <w:numPr>
          <w:ilvl w:val="0"/>
          <w:numId w:val="7"/>
        </w:numPr>
        <w:spacing w:line="240" w:lineRule="auto"/>
        <w:ind w:left="720" w:hanging="360"/>
        <w:rPr>
          <w:sz w:val="24"/>
          <w:szCs w:val="24"/>
        </w:rPr>
      </w:pPr>
      <w:r w:rsidDel="00000000" w:rsidR="00000000" w:rsidRPr="00000000">
        <w:rPr>
          <w:sz w:val="24"/>
          <w:szCs w:val="24"/>
          <w:rtl w:val="0"/>
        </w:rPr>
        <w:t xml:space="preserve">konstruktiven Ansätzen, um den Umgang mit </w:t>
      </w:r>
      <w:r w:rsidDel="00000000" w:rsidR="00000000" w:rsidRPr="00000000">
        <w:rPr>
          <w:i w:val="1"/>
          <w:sz w:val="24"/>
          <w:szCs w:val="24"/>
          <w:rtl w:val="0"/>
        </w:rPr>
        <w:t xml:space="preserve">“Fremden”</w:t>
      </w:r>
      <w:r w:rsidDel="00000000" w:rsidR="00000000" w:rsidRPr="00000000">
        <w:rPr>
          <w:sz w:val="24"/>
          <w:szCs w:val="24"/>
          <w:rtl w:val="0"/>
        </w:rPr>
        <w:t xml:space="preserve">, Zugezogenen und Menschen anderer Lebensrealitäten zu verbessern</w:t>
      </w:r>
    </w:p>
    <w:p w:rsidR="00000000" w:rsidDel="00000000" w:rsidP="00000000" w:rsidRDefault="00000000" w:rsidRPr="00000000" w14:paraId="0000004B">
      <w:pPr>
        <w:numPr>
          <w:ilvl w:val="0"/>
          <w:numId w:val="7"/>
        </w:numPr>
        <w:spacing w:line="240" w:lineRule="auto"/>
        <w:ind w:left="720" w:hanging="360"/>
        <w:rPr>
          <w:sz w:val="24"/>
          <w:szCs w:val="24"/>
        </w:rPr>
      </w:pPr>
      <w:r w:rsidDel="00000000" w:rsidR="00000000" w:rsidRPr="00000000">
        <w:rPr>
          <w:sz w:val="24"/>
          <w:szCs w:val="24"/>
          <w:rtl w:val="0"/>
        </w:rPr>
        <w:t xml:space="preserve">der Befähigung zu einem wertschätzenden Miteinander gegen Vorurteile</w:t>
      </w:r>
    </w:p>
    <w:p w:rsidR="00000000" w:rsidDel="00000000" w:rsidP="00000000" w:rsidRDefault="00000000" w:rsidRPr="00000000" w14:paraId="0000004C">
      <w:pPr>
        <w:numPr>
          <w:ilvl w:val="0"/>
          <w:numId w:val="7"/>
        </w:numPr>
        <w:spacing w:line="240" w:lineRule="auto"/>
        <w:ind w:left="720" w:hanging="360"/>
        <w:rPr>
          <w:sz w:val="24"/>
          <w:szCs w:val="24"/>
        </w:rPr>
      </w:pPr>
      <w:r w:rsidDel="00000000" w:rsidR="00000000" w:rsidRPr="00000000">
        <w:rPr>
          <w:sz w:val="24"/>
          <w:szCs w:val="24"/>
          <w:rtl w:val="0"/>
        </w:rPr>
        <w:t xml:space="preserve">einem einfach zu handhabbaren Instrument, dank dessen man sich von Vielfalt nicht bedroht fühlen muss</w:t>
      </w:r>
    </w:p>
    <w:p w:rsidR="00000000" w:rsidDel="00000000" w:rsidP="00000000" w:rsidRDefault="00000000" w:rsidRPr="00000000" w14:paraId="0000004D">
      <w:pPr>
        <w:numPr>
          <w:ilvl w:val="0"/>
          <w:numId w:val="7"/>
        </w:numPr>
        <w:spacing w:line="240" w:lineRule="auto"/>
        <w:ind w:left="720" w:hanging="360"/>
        <w:rPr>
          <w:sz w:val="24"/>
          <w:szCs w:val="24"/>
        </w:rPr>
      </w:pPr>
      <w:r w:rsidDel="00000000" w:rsidR="00000000" w:rsidRPr="00000000">
        <w:rPr>
          <w:sz w:val="24"/>
          <w:szCs w:val="24"/>
          <w:rtl w:val="0"/>
        </w:rPr>
        <w:t xml:space="preserve">gewaltfreien, </w:t>
      </w:r>
      <w:r w:rsidDel="00000000" w:rsidR="00000000" w:rsidRPr="00000000">
        <w:rPr>
          <w:sz w:val="24"/>
          <w:szCs w:val="24"/>
          <w:rtl w:val="0"/>
        </w:rPr>
        <w:t xml:space="preserve">gütekräftigen</w:t>
      </w:r>
      <w:r w:rsidDel="00000000" w:rsidR="00000000" w:rsidRPr="00000000">
        <w:rPr>
          <w:sz w:val="24"/>
          <w:szCs w:val="24"/>
          <w:rtl w:val="0"/>
        </w:rPr>
        <w:t xml:space="preserve"> Methoden, um respektloses Miteinander zu verbessern</w:t>
      </w:r>
    </w:p>
    <w:p w:rsidR="00000000" w:rsidDel="00000000" w:rsidP="00000000" w:rsidRDefault="00000000" w:rsidRPr="00000000" w14:paraId="0000004E">
      <w:pPr>
        <w:spacing w:line="240" w:lineRule="auto"/>
        <w:rPr>
          <w:sz w:val="24"/>
          <w:szCs w:val="24"/>
        </w:rPr>
      </w:pPr>
      <w:r w:rsidDel="00000000" w:rsidR="00000000" w:rsidRPr="00000000">
        <w:rPr>
          <w:rtl w:val="0"/>
        </w:rPr>
      </w:r>
    </w:p>
    <w:p w:rsidR="00000000" w:rsidDel="00000000" w:rsidP="00000000" w:rsidRDefault="00000000" w:rsidRPr="00000000" w14:paraId="0000004F">
      <w:pPr>
        <w:spacing w:line="240" w:lineRule="auto"/>
        <w:rPr>
          <w:b w:val="1"/>
          <w:sz w:val="24"/>
          <w:szCs w:val="24"/>
        </w:rPr>
      </w:pPr>
      <w:r w:rsidDel="00000000" w:rsidR="00000000" w:rsidRPr="00000000">
        <w:rPr>
          <w:b w:val="1"/>
          <w:sz w:val="24"/>
          <w:szCs w:val="24"/>
          <w:rtl w:val="0"/>
        </w:rPr>
        <w:t xml:space="preserve">Aktionen und Projekte, die folgende Merkmale aufweisen, verdienen besondere Beachtung</w:t>
      </w:r>
    </w:p>
    <w:p w:rsidR="00000000" w:rsidDel="00000000" w:rsidP="00000000" w:rsidRDefault="00000000" w:rsidRPr="00000000" w14:paraId="00000050">
      <w:pPr>
        <w:spacing w:line="240" w:lineRule="auto"/>
        <w:rPr>
          <w:sz w:val="24"/>
          <w:szCs w:val="24"/>
        </w:rPr>
      </w:pPr>
      <w:r w:rsidDel="00000000" w:rsidR="00000000" w:rsidRPr="00000000">
        <w:rPr>
          <w:rtl w:val="0"/>
        </w:rPr>
      </w:r>
    </w:p>
    <w:p w:rsidR="00000000" w:rsidDel="00000000" w:rsidP="00000000" w:rsidRDefault="00000000" w:rsidRPr="00000000" w14:paraId="00000051">
      <w:pPr>
        <w:spacing w:line="240" w:lineRule="auto"/>
        <w:rPr>
          <w:sz w:val="24"/>
          <w:szCs w:val="24"/>
        </w:rPr>
      </w:pPr>
      <w:r w:rsidDel="00000000" w:rsidR="00000000" w:rsidRPr="00000000">
        <w:rPr>
          <w:sz w:val="24"/>
          <w:szCs w:val="24"/>
          <w:rtl w:val="0"/>
        </w:rPr>
        <w:t xml:space="preserve">Kostenlose Teilnahme für Teilnehmende</w:t>
      </w:r>
    </w:p>
    <w:p w:rsidR="00000000" w:rsidDel="00000000" w:rsidP="00000000" w:rsidRDefault="00000000" w:rsidRPr="00000000" w14:paraId="00000052">
      <w:pPr>
        <w:spacing w:line="240" w:lineRule="auto"/>
        <w:rPr>
          <w:sz w:val="24"/>
          <w:szCs w:val="24"/>
        </w:rPr>
      </w:pPr>
      <w:r w:rsidDel="00000000" w:rsidR="00000000" w:rsidRPr="00000000">
        <w:rPr>
          <w:sz w:val="24"/>
          <w:szCs w:val="24"/>
          <w:rtl w:val="0"/>
        </w:rPr>
        <w:t xml:space="preserve">Einbindung von Betroffenen</w:t>
      </w:r>
    </w:p>
    <w:p w:rsidR="00000000" w:rsidDel="00000000" w:rsidP="00000000" w:rsidRDefault="00000000" w:rsidRPr="00000000" w14:paraId="00000053">
      <w:pPr>
        <w:spacing w:line="240" w:lineRule="auto"/>
        <w:rPr>
          <w:sz w:val="24"/>
          <w:szCs w:val="24"/>
        </w:rPr>
      </w:pPr>
      <w:r w:rsidDel="00000000" w:rsidR="00000000" w:rsidRPr="00000000">
        <w:rPr>
          <w:sz w:val="24"/>
          <w:szCs w:val="24"/>
          <w:rtl w:val="0"/>
        </w:rPr>
        <w:t xml:space="preserve">Nutzung von Synergien und Kooperationen mit anderen Akteuren</w:t>
      </w:r>
    </w:p>
    <w:p w:rsidR="00000000" w:rsidDel="00000000" w:rsidP="00000000" w:rsidRDefault="00000000" w:rsidRPr="00000000" w14:paraId="00000054">
      <w:pPr>
        <w:spacing w:line="240" w:lineRule="auto"/>
        <w:rPr>
          <w:sz w:val="24"/>
          <w:szCs w:val="24"/>
        </w:rPr>
      </w:pPr>
      <w:r w:rsidDel="00000000" w:rsidR="00000000" w:rsidRPr="00000000">
        <w:rPr>
          <w:sz w:val="24"/>
          <w:szCs w:val="24"/>
          <w:rtl w:val="0"/>
        </w:rPr>
        <w:t xml:space="preserve">Nachhaltigkeit</w:t>
      </w:r>
    </w:p>
    <w:p w:rsidR="00000000" w:rsidDel="00000000" w:rsidP="00000000" w:rsidRDefault="00000000" w:rsidRPr="00000000" w14:paraId="00000055">
      <w:pPr>
        <w:spacing w:line="240" w:lineRule="auto"/>
        <w:rPr>
          <w:sz w:val="24"/>
          <w:szCs w:val="24"/>
        </w:rPr>
      </w:pPr>
      <w:r w:rsidDel="00000000" w:rsidR="00000000" w:rsidRPr="00000000">
        <w:rPr>
          <w:sz w:val="24"/>
          <w:szCs w:val="24"/>
          <w:rtl w:val="0"/>
        </w:rPr>
        <w:t xml:space="preserve">Innovative Aktivitäten (ggf. unter Nutzung zusätzlicher digitaler Optionen)</w:t>
      </w:r>
    </w:p>
    <w:p w:rsidR="00000000" w:rsidDel="00000000" w:rsidP="00000000" w:rsidRDefault="00000000" w:rsidRPr="00000000" w14:paraId="0000005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3"/>
      <w:numFmt w:val="upperRoman"/>
      <w:lvlText w:val="%1."/>
      <w:lvlJc w:val="left"/>
      <w:pPr>
        <w:ind w:left="760" w:hanging="720"/>
      </w:pPr>
      <w:rPr/>
    </w:lvl>
    <w:lvl w:ilvl="1">
      <w:start w:val="1"/>
      <w:numFmt w:val="lowerLetter"/>
      <w:lvlText w:val="%2."/>
      <w:lvlJc w:val="left"/>
      <w:pPr>
        <w:ind w:left="1120" w:hanging="360"/>
      </w:pPr>
      <w:rPr/>
    </w:lvl>
    <w:lvl w:ilvl="2">
      <w:start w:val="1"/>
      <w:numFmt w:val="lowerRoman"/>
      <w:lvlText w:val="%3."/>
      <w:lvlJc w:val="right"/>
      <w:pPr>
        <w:ind w:left="1840" w:hanging="180"/>
      </w:pPr>
      <w:rPr/>
    </w:lvl>
    <w:lvl w:ilvl="3">
      <w:start w:val="1"/>
      <w:numFmt w:val="decimal"/>
      <w:lvlText w:val="%4."/>
      <w:lvlJc w:val="left"/>
      <w:pPr>
        <w:ind w:left="2560" w:hanging="360"/>
      </w:pPr>
      <w:rPr/>
    </w:lvl>
    <w:lvl w:ilvl="4">
      <w:start w:val="1"/>
      <w:numFmt w:val="lowerLetter"/>
      <w:lvlText w:val="%5."/>
      <w:lvlJc w:val="left"/>
      <w:pPr>
        <w:ind w:left="3280" w:hanging="360"/>
      </w:pPr>
      <w:rPr/>
    </w:lvl>
    <w:lvl w:ilvl="5">
      <w:start w:val="1"/>
      <w:numFmt w:val="lowerRoman"/>
      <w:lvlText w:val="%6."/>
      <w:lvlJc w:val="right"/>
      <w:pPr>
        <w:ind w:left="4000" w:hanging="180"/>
      </w:pPr>
      <w:rPr/>
    </w:lvl>
    <w:lvl w:ilvl="6">
      <w:start w:val="1"/>
      <w:numFmt w:val="decimal"/>
      <w:lvlText w:val="%7."/>
      <w:lvlJc w:val="left"/>
      <w:pPr>
        <w:ind w:left="4720" w:hanging="360"/>
      </w:pPr>
      <w:rPr/>
    </w:lvl>
    <w:lvl w:ilvl="7">
      <w:start w:val="1"/>
      <w:numFmt w:val="lowerLetter"/>
      <w:lvlText w:val="%8."/>
      <w:lvlJc w:val="left"/>
      <w:pPr>
        <w:ind w:left="5440" w:hanging="360"/>
      </w:pPr>
      <w:rPr/>
    </w:lvl>
    <w:lvl w:ilvl="8">
      <w:start w:val="1"/>
      <w:numFmt w:val="lowerRoman"/>
      <w:lvlText w:val="%9."/>
      <w:lvlJc w:val="right"/>
      <w:pPr>
        <w:ind w:left="616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upperLetter"/>
      <w:lvlText w:val="%1."/>
      <w:lvlJc w:val="left"/>
      <w:pPr>
        <w:ind w:left="720" w:hanging="360"/>
      </w:pPr>
      <w:rPr/>
    </w:lvl>
    <w:lvl w:ilvl="1">
      <w:start w:val="1"/>
      <w:numFmt w:val="lowerLetter"/>
      <w:lvlText w:val="%2."/>
      <w:lvlJc w:val="left"/>
      <w:pPr>
        <w:ind w:left="1440" w:hanging="360"/>
      </w:pPr>
      <w:rPr>
        <w:rFonts w:ascii="Courier New" w:cs="Courier New" w:eastAsia="Courier New" w:hAnsi="Courier New"/>
      </w:rPr>
    </w:lvl>
    <w:lvl w:ilvl="2">
      <w:start w:val="1"/>
      <w:numFmt w:val="lowerRoman"/>
      <w:lvlText w:val="%3."/>
      <w:lvlJc w:val="right"/>
      <w:pPr>
        <w:ind w:left="2160" w:hanging="360"/>
      </w:pPr>
      <w:rPr>
        <w:rFonts w:ascii="Noto Sans Symbols" w:cs="Noto Sans Symbols" w:eastAsia="Noto Sans Symbols" w:hAnsi="Noto Sans Symbols"/>
      </w:rPr>
    </w:lvl>
    <w:lvl w:ilvl="3">
      <w:start w:val="1"/>
      <w:numFmt w:val="decimal"/>
      <w:lvlText w:val="%4."/>
      <w:lvlJc w:val="left"/>
      <w:pPr>
        <w:ind w:left="2880" w:hanging="360"/>
      </w:pPr>
      <w:rPr>
        <w:rFonts w:ascii="Noto Sans Symbols" w:cs="Noto Sans Symbols" w:eastAsia="Noto Sans Symbols" w:hAnsi="Noto Sans Symbols"/>
      </w:rPr>
    </w:lvl>
    <w:lvl w:ilvl="4">
      <w:start w:val="1"/>
      <w:numFmt w:val="lowerLetter"/>
      <w:lvlText w:val="%5."/>
      <w:lvlJc w:val="left"/>
      <w:pPr>
        <w:ind w:left="3600" w:hanging="360"/>
      </w:pPr>
      <w:rPr>
        <w:rFonts w:ascii="Courier New" w:cs="Courier New" w:eastAsia="Courier New" w:hAnsi="Courier New"/>
      </w:rPr>
    </w:lvl>
    <w:lvl w:ilvl="5">
      <w:start w:val="1"/>
      <w:numFmt w:val="lowerRoman"/>
      <w:lvlText w:val="%6."/>
      <w:lvlJc w:val="right"/>
      <w:pPr>
        <w:ind w:left="4320" w:hanging="360"/>
      </w:pPr>
      <w:rPr>
        <w:rFonts w:ascii="Noto Sans Symbols" w:cs="Noto Sans Symbols" w:eastAsia="Noto Sans Symbols" w:hAnsi="Noto Sans Symbols"/>
      </w:rPr>
    </w:lvl>
    <w:lvl w:ilvl="6">
      <w:start w:val="1"/>
      <w:numFmt w:val="decimal"/>
      <w:lvlText w:val="%7."/>
      <w:lvlJc w:val="left"/>
      <w:pPr>
        <w:ind w:left="5040" w:hanging="360"/>
      </w:pPr>
      <w:rPr>
        <w:rFonts w:ascii="Noto Sans Symbols" w:cs="Noto Sans Symbols" w:eastAsia="Noto Sans Symbols" w:hAnsi="Noto Sans Symbols"/>
      </w:rPr>
    </w:lvl>
    <w:lvl w:ilvl="7">
      <w:start w:val="1"/>
      <w:numFmt w:val="lowerLetter"/>
      <w:lvlText w:val="%8."/>
      <w:lvlJc w:val="left"/>
      <w:pPr>
        <w:ind w:left="5760" w:hanging="360"/>
      </w:pPr>
      <w:rPr>
        <w:rFonts w:ascii="Courier New" w:cs="Courier New" w:eastAsia="Courier New" w:hAnsi="Courier New"/>
      </w:rPr>
    </w:lvl>
    <w:lvl w:ilvl="8">
      <w:start w:val="1"/>
      <w:numFmt w:val="lowerRoman"/>
      <w:lvlText w:val="%9."/>
      <w:lvlJc w:val="righ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